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Mayo, el mes ideal para comprar vivienda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En un momento económico volátil y con tasas de interés altas, Flat.Mx será la única Proptech que participará, por segundo año consecutivo, con beneficios especiales en el Hot Sale.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CIUDAD DE MÉXICO. </w:t>
      </w:r>
      <w:r w:rsidDel="00000000" w:rsidR="00000000" w:rsidRPr="00000000">
        <w:rPr>
          <w:highlight w:val="yellow"/>
          <w:rtl w:val="0"/>
        </w:rPr>
        <w:t xml:space="preserve">XX </w:t>
      </w:r>
      <w:r w:rsidDel="00000000" w:rsidR="00000000" w:rsidRPr="00000000">
        <w:rPr>
          <w:rtl w:val="0"/>
        </w:rPr>
        <w:t xml:space="preserve">de mayo de 2023.- El pasado 2 de mayo, una de las </w:t>
      </w:r>
      <w:hyperlink r:id="rId6">
        <w:r w:rsidDel="00000000" w:rsidR="00000000" w:rsidRPr="00000000">
          <w:rPr>
            <w:color w:val="1155cc"/>
            <w:u w:val="single"/>
            <w:rtl w:val="0"/>
          </w:rPr>
          <w:t xml:space="preserve">instituciones bancarias</w:t>
        </w:r>
      </w:hyperlink>
      <w:r w:rsidDel="00000000" w:rsidR="00000000" w:rsidRPr="00000000">
        <w:rPr>
          <w:rtl w:val="0"/>
        </w:rPr>
        <w:t xml:space="preserve"> de referencia en el país, anunció un ajuste hasta en 60 puntos base a la baja, a su tasa de interés hipotecaria, con el objetivo de apoyar a los clientes a concretar sus planes de compra de vivienda.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la perspectiva de Flat.Mx, esto representa una importante oportunidad para los interesados en adquirir una casa o departamento, pues los usuarios podrán acceder a mejores condiciones de crédito que se reflejarán en mensualidades más bajas.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Alejandro Reyes, Chief Financial Services</w:t>
      </w:r>
      <w:r w:rsidDel="00000000" w:rsidR="00000000" w:rsidRPr="00000000">
        <w:rPr>
          <w:rtl w:val="0"/>
        </w:rPr>
        <w:t xml:space="preserve"> de Flat.Mx, indica que en los siguientes meses representarán una buena oportunidad para solicitar  un crédito hipotecario, toda vez que prevé que esta decisión marque la pauta para que otras instituciones bancarias realicen nuevos ajustes a la baja dentro de sus tasas hipotecarias.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“Al anticiparse al mercado de esta forma, es probable que otros bancos realicen ajustes similares, lo que implicaría una oportunidad importante comparado con los meses anteriores, en los que la tasa hipotecaria se </w:t>
      </w:r>
      <w:r w:rsidDel="00000000" w:rsidR="00000000" w:rsidRPr="00000000">
        <w:rPr>
          <w:i w:val="1"/>
          <w:rtl w:val="0"/>
        </w:rPr>
        <w:t xml:space="preserve">incrementaba</w:t>
      </w:r>
      <w:r w:rsidDel="00000000" w:rsidR="00000000" w:rsidRPr="00000000">
        <w:rPr>
          <w:i w:val="1"/>
          <w:rtl w:val="0"/>
        </w:rPr>
        <w:t xml:space="preserve"> mes con mes. Al adquirir un crédito hipotecario durante este periodo, los usuarios tendrán como consecuencia  un pago de su mensualidad menor, al pagar menos intereses por el crédito obtenido”</w:t>
      </w:r>
      <w:r w:rsidDel="00000000" w:rsidR="00000000" w:rsidRPr="00000000">
        <w:rPr>
          <w:rtl w:val="0"/>
        </w:rPr>
        <w:t xml:space="preserve">, indica el especialista.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También señala que esto genera un impacto directo en la personalización de la vivienda, ya que al verse reducido el pago mensual promedio de los usuarios se pueden destinar más recursos a decoración y/o remodelaciones en caso de ser necesarias en vivienda usada.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“Veníamos de un periodo en el que las tasas estaban creciendo. Ahora, es importante aprovechar para comprar e incluso refinanciar el crédito hipotecario actual a una tasa menor, en caso de quienes ya tengan un crédito vigente”</w:t>
      </w:r>
      <w:r w:rsidDel="00000000" w:rsidR="00000000" w:rsidRPr="00000000">
        <w:rPr>
          <w:rtl w:val="0"/>
        </w:rPr>
        <w:t xml:space="preserve">, añade Alejandro Reyes.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i w:val="1"/>
          <w:sz w:val="18"/>
          <w:szCs w:val="18"/>
          <w:highlight w:val="yellow"/>
        </w:rPr>
      </w:pPr>
      <w:r w:rsidDel="00000000" w:rsidR="00000000" w:rsidRPr="00000000">
        <w:rPr>
          <w:rtl w:val="0"/>
        </w:rPr>
        <w:t xml:space="preserve">Finalmente, el experto señala que: “l</w:t>
      </w:r>
      <w:r w:rsidDel="00000000" w:rsidR="00000000" w:rsidRPr="00000000">
        <w:rPr>
          <w:i w:val="1"/>
          <w:rtl w:val="0"/>
        </w:rPr>
        <w:t xml:space="preserve">os usuarios pueden aprovechar esta tasa a la baja y combinarla con los beneficios que obtienen de instituciones como Infonavit o Fovissste, aprovechando el saldo de la subcuenta de vivienda. Este saldo es el ahorro que los trabajadores van acumulando durante su vida laboral y del que pueden disponer para ayudarse a adquirir una vivienda”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jc w:val="both"/>
        <w:rPr>
          <w:i w:val="1"/>
          <w:sz w:val="18"/>
          <w:szCs w:val="18"/>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Comprar una casa o departamento siempre es una opción que ofrece diversas ventajas sobre la renta del inmueble, como la acumulación de capital que representa una vivienda propia, la posibilidad de rentarla y obtener un rendimiento positivo y desde luego la satisfacción personal de ser dueño de una propiedad tangible.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Esas ventajas se maximizan cuando se presenta un context</w:t>
      </w:r>
      <w:r w:rsidDel="00000000" w:rsidR="00000000" w:rsidRPr="00000000">
        <w:rPr>
          <w:rtl w:val="0"/>
        </w:rPr>
        <w:t xml:space="preserve">o</w:t>
      </w:r>
      <w:r w:rsidDel="00000000" w:rsidR="00000000" w:rsidRPr="00000000">
        <w:rPr>
          <w:rtl w:val="0"/>
        </w:rPr>
        <w:t xml:space="preserve"> favorable como el que se vive actualmente, el cual derivado de la disminución en las tasas hipotecarias representa el mejor momento en lo que va del año para la adquisición de una vivienda.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sz w:val="28"/>
          <w:szCs w:val="28"/>
          <w:u w:val="none"/>
        </w:rPr>
      </w:pPr>
      <w:r w:rsidDel="00000000" w:rsidR="00000000" w:rsidRPr="00000000">
        <w:rPr>
          <w:sz w:val="28"/>
          <w:szCs w:val="28"/>
          <w:rtl w:val="0"/>
        </w:rPr>
        <w:t xml:space="preserve">Hot Sale, beneficio añadido a la coyuntura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Además de la oportunidad que el contexto antes mencionado ofrece a los compradores, Flat.Mx será por tercer año consecutivo la única Proptech que participará dentro del Hot Sale, una de las temporadas de descuentos online más importantes del año y en la que este año se prevé que compren 7 de cada 10 mexicanos, según la</w:t>
      </w:r>
      <w:hyperlink r:id="rId7">
        <w:r w:rsidDel="00000000" w:rsidR="00000000" w:rsidRPr="00000000">
          <w:rPr>
            <w:color w:val="1155cc"/>
            <w:u w:val="single"/>
            <w:rtl w:val="0"/>
          </w:rPr>
          <w:t xml:space="preserve"> AMVO.</w:t>
        </w:r>
      </w:hyperlink>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Desde la edición 2021 del evento la firma participó como la única compañía inmobiliaria cuyos procesos son 100% digitales y basados en una plataforma digital, lo que marca un parteaguas en la forma de vender, comprar e intercambiar vivienda en el país, alejada de los procesos y trámites tradicionales y en una forma ágil y sencilla.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Sobre Flat.mx</w:t>
      </w:r>
      <w:r w:rsidDel="00000000" w:rsidR="00000000" w:rsidRPr="00000000">
        <w:rPr>
          <w:rFonts w:ascii="Open Sans" w:cs="Open Sans" w:eastAsia="Open Sans" w:hAnsi="Open Sans"/>
          <w:sz w:val="20"/>
          <w:szCs w:val="20"/>
          <w:rtl w:val="0"/>
        </w:rPr>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w:t>
      </w:r>
    </w:p>
    <w:p w:rsidR="00000000" w:rsidDel="00000000" w:rsidP="00000000" w:rsidRDefault="00000000" w:rsidRPr="00000000" w14:paraId="0000001F">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conocer más sobre Flat.mx, consulta </w:t>
      </w:r>
      <w:hyperlink r:id="rId8">
        <w:r w:rsidDel="00000000" w:rsidR="00000000" w:rsidRPr="00000000">
          <w:rPr>
            <w:rFonts w:ascii="Open Sans" w:cs="Open Sans" w:eastAsia="Open Sans" w:hAnsi="Open Sans"/>
            <w:color w:val="1155cc"/>
            <w:sz w:val="20"/>
            <w:szCs w:val="20"/>
            <w:u w:val="single"/>
            <w:rtl w:val="0"/>
          </w:rPr>
          <w:t xml:space="preserve">www.flat.mx</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1">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18"/>
          <w:szCs w:val="18"/>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23">
      <w:pPr>
        <w:spacing w:line="276" w:lineRule="auto"/>
        <w:jc w:val="both"/>
        <w:rPr>
          <w:sz w:val="18"/>
          <w:szCs w:val="18"/>
        </w:rPr>
      </w:pPr>
      <w:r w:rsidDel="00000000" w:rsidR="00000000" w:rsidRPr="00000000">
        <w:rPr>
          <w:rtl w:val="0"/>
        </w:rPr>
      </w:r>
    </w:p>
    <w:p w:rsidR="00000000" w:rsidDel="00000000" w:rsidP="00000000" w:rsidRDefault="00000000" w:rsidRPr="00000000" w14:paraId="00000024">
      <w:pPr>
        <w:spacing w:line="276" w:lineRule="auto"/>
        <w:jc w:val="both"/>
        <w:rPr>
          <w:sz w:val="18"/>
          <w:szCs w:val="18"/>
        </w:rPr>
      </w:pPr>
      <w:hyperlink r:id="rId9">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25">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26">
      <w:pPr>
        <w:spacing w:line="276" w:lineRule="auto"/>
        <w:jc w:val="both"/>
        <w:rPr>
          <w:sz w:val="18"/>
          <w:szCs w:val="18"/>
        </w:rPr>
      </w:pPr>
      <w:hyperlink r:id="rId10">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27">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pacing w:line="276" w:lineRule="auto"/>
        <w:jc w:val="both"/>
        <w:rPr/>
      </w:pPr>
      <w:hyperlink r:id="rId11">
        <w:r w:rsidDel="00000000" w:rsidR="00000000" w:rsidRPr="00000000">
          <w:rPr>
            <w:color w:val="0000ee"/>
            <w:u w:val="single"/>
            <w:shd w:fill="auto" w:val="clear"/>
            <w:rtl w:val="0"/>
          </w:rPr>
          <w:t xml:space="preserve">Lenin Jorge Zamudio Torres</w:t>
        </w:r>
      </w:hyperlink>
      <w:r w:rsidDel="00000000" w:rsidR="00000000" w:rsidRPr="00000000">
        <w:rPr>
          <w:rtl w:val="0"/>
        </w:rPr>
      </w:r>
    </w:p>
    <w:p w:rsidR="00000000" w:rsidDel="00000000" w:rsidP="00000000" w:rsidRDefault="00000000" w:rsidRPr="00000000" w14:paraId="0000002A">
      <w:pPr>
        <w:spacing w:line="276" w:lineRule="auto"/>
        <w:jc w:val="both"/>
        <w:rPr>
          <w:b w:val="1"/>
          <w:sz w:val="18"/>
          <w:szCs w:val="18"/>
        </w:rPr>
      </w:pPr>
      <w:r w:rsidDel="00000000" w:rsidR="00000000" w:rsidRPr="00000000">
        <w:rPr>
          <w:b w:val="1"/>
          <w:sz w:val="18"/>
          <w:szCs w:val="18"/>
          <w:rtl w:val="0"/>
        </w:rPr>
        <w:t xml:space="preserve">SR Expert Business Manager - Consumer Tech.</w:t>
      </w:r>
    </w:p>
    <w:p w:rsidR="00000000" w:rsidDel="00000000" w:rsidP="00000000" w:rsidRDefault="00000000" w:rsidRPr="00000000" w14:paraId="0000002B">
      <w:pPr>
        <w:spacing w:line="276" w:lineRule="auto"/>
        <w:jc w:val="both"/>
        <w:rPr>
          <w:sz w:val="18"/>
          <w:szCs w:val="18"/>
        </w:rPr>
      </w:pPr>
      <w:hyperlink r:id="rId12">
        <w:r w:rsidDel="00000000" w:rsidR="00000000" w:rsidRPr="00000000">
          <w:rPr>
            <w:color w:val="1155cc"/>
            <w:sz w:val="18"/>
            <w:szCs w:val="18"/>
            <w:u w:val="single"/>
            <w:rtl w:val="0"/>
          </w:rPr>
          <w:t xml:space="preserve">lenin.zamudio@another.co</w:t>
        </w:r>
      </w:hyperlink>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sz w:val="18"/>
          <w:szCs w:val="18"/>
          <w:rtl w:val="0"/>
        </w:rPr>
        <w:t xml:space="preserve">5539406118</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1309688" cy="4010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4010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enin.zamudio@another.co" TargetMode="External"/><Relationship Id="rId10" Type="http://schemas.openxmlformats.org/officeDocument/2006/relationships/hyperlink" Target="mailto:ernesto.nicolas@another.co" TargetMode="External"/><Relationship Id="rId13" Type="http://schemas.openxmlformats.org/officeDocument/2006/relationships/header" Target="header1.xml"/><Relationship Id="rId12" Type="http://schemas.openxmlformats.org/officeDocument/2006/relationships/hyperlink" Target="mailto:lenin.zamudi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rnesto.nicolas@another.co" TargetMode="External"/><Relationship Id="rId5" Type="http://schemas.openxmlformats.org/officeDocument/2006/relationships/styles" Target="styles.xml"/><Relationship Id="rId6" Type="http://schemas.openxmlformats.org/officeDocument/2006/relationships/hyperlink" Target="https://www.santander.com.mx/ceb/2023/sala_prensa_2023_0205.html" TargetMode="External"/><Relationship Id="rId7" Type="http://schemas.openxmlformats.org/officeDocument/2006/relationships/hyperlink" Target="https://www.amvo.org.mx/estudios/expectativas-hot-sale-2023/" TargetMode="External"/><Relationship Id="rId8" Type="http://schemas.openxmlformats.org/officeDocument/2006/relationships/hyperlink" Target="http://www.flat.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